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kern w:val="0"/>
          <w:sz w:val="24"/>
          <w:bdr w:val="single" w:color="auto" w:sz="4" w:space="0"/>
        </w:rPr>
        <w:t>別紙①</w:t>
      </w:r>
      <w:r>
        <w:rPr>
          <w:rFonts w:hint="eastAsia" w:ascii="ＭＳ 明朝" w:hAnsi="ＭＳ 明朝" w:eastAsia="ＭＳ 明朝"/>
          <w:kern w:val="0"/>
          <w:sz w:val="24"/>
        </w:rPr>
        <w:t>　　　　　</w:t>
      </w:r>
      <w:r>
        <w:rPr>
          <w:rFonts w:hint="eastAsia" w:ascii="ＭＳ 明朝" w:hAnsi="ＭＳ 明朝" w:eastAsia="ＭＳ 明朝"/>
          <w:kern w:val="0"/>
          <w:sz w:val="28"/>
        </w:rPr>
        <w:t>　　　　　　　　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</w:p>
    <w:p>
      <w:pPr>
        <w:pStyle w:val="0"/>
        <w:autoSpaceDE w:val="0"/>
        <w:autoSpaceDN w:val="0"/>
        <w:adjustRightInd w:val="0"/>
        <w:ind w:firstLine="280" w:firstLineChars="10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8"/>
        </w:rPr>
        <w:t>金利見積書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240" w:firstLineChars="10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令和　　年　　月　　日　</w:t>
      </w:r>
    </w:p>
    <w:p>
      <w:pPr>
        <w:pStyle w:val="0"/>
        <w:autoSpaceDE w:val="0"/>
        <w:autoSpaceDN w:val="0"/>
        <w:adjustRightInd w:val="0"/>
        <w:ind w:right="96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与那原町下水道事業の地方長期資金の貸出利率について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720" w:firstLineChars="3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貸出利率について特記事項に同意し次のとおり提示します。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●対象事業</w:t>
      </w:r>
    </w:p>
    <w:tbl>
      <w:tblPr>
        <w:tblStyle w:val="28"/>
        <w:tblpPr w:leftFromText="142" w:rightFromText="142" w:topFromText="0" w:bottomFromText="0" w:vertAnchor="text" w:horzAnchor="margin" w:tblpXSpec="left" w:tblpY="46"/>
        <w:tblW w:w="10201" w:type="dxa"/>
        <w:tblLayout w:type="fixed"/>
        <w:tblLook w:firstRow="1" w:lastRow="0" w:firstColumn="1" w:lastColumn="0" w:noHBand="0" w:noVBand="1" w:val="04A0"/>
      </w:tblPr>
      <w:tblGrid>
        <w:gridCol w:w="1980"/>
        <w:gridCol w:w="2410"/>
        <w:gridCol w:w="2693"/>
        <w:gridCol w:w="3118"/>
      </w:tblGrid>
      <w:tr>
        <w:trPr/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事業名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借入額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償還年限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下水道会計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特別措置分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18,200,000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円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年（うち３年据置）</w:t>
            </w:r>
            <w:bookmarkStart w:id="0" w:name="_GoBack"/>
            <w:bookmarkEnd w:id="0"/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●特記事項</w:t>
      </w:r>
    </w:p>
    <w:p>
      <w:pPr>
        <w:pStyle w:val="0"/>
        <w:autoSpaceDE w:val="0"/>
        <w:autoSpaceDN w:val="0"/>
        <w:adjustRightInd w:val="0"/>
        <w:ind w:firstLine="360" w:firstLineChars="15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・借入期間中に一括償還が可能であること。</w:t>
      </w:r>
    </w:p>
    <w:p>
      <w:pPr>
        <w:pStyle w:val="0"/>
        <w:autoSpaceDE w:val="0"/>
        <w:autoSpaceDN w:val="0"/>
        <w:adjustRightInd w:val="0"/>
        <w:ind w:firstLine="360" w:firstLineChars="15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・一括償還にかかる手数料は発生しないこと。</w:t>
      </w:r>
    </w:p>
    <w:p>
      <w:pPr>
        <w:pStyle w:val="0"/>
        <w:autoSpaceDE w:val="0"/>
        <w:autoSpaceDN w:val="0"/>
        <w:adjustRightInd w:val="0"/>
        <w:ind w:firstLine="360" w:firstLineChars="15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・振込手数料は、すべて金融機関の負担とすること。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●金利方式　利率見直し方式</w:t>
      </w:r>
    </w:p>
    <w:tbl>
      <w:tblPr>
        <w:tblStyle w:val="28"/>
        <w:tblpPr w:leftFromText="142" w:rightFromText="142" w:topFromText="0" w:bottomFromText="0" w:vertAnchor="text" w:horzAnchor="margin" w:tblpXSpec="left" w:tblpY="46"/>
        <w:tblW w:w="10201" w:type="dxa"/>
        <w:tblLayout w:type="fixed"/>
        <w:tblLook w:firstRow="1" w:lastRow="0" w:firstColumn="1" w:lastColumn="0" w:noHBand="0" w:noVBand="1" w:val="04A0"/>
      </w:tblPr>
      <w:tblGrid>
        <w:gridCol w:w="1980"/>
        <w:gridCol w:w="2740"/>
        <w:gridCol w:w="2740"/>
        <w:gridCol w:w="2741"/>
      </w:tblGrid>
      <w:tr>
        <w:trPr/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74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１年固定</w:t>
            </w:r>
          </w:p>
        </w:tc>
        <w:tc>
          <w:tcPr>
            <w:tcW w:w="274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３年固定</w:t>
            </w:r>
          </w:p>
        </w:tc>
        <w:tc>
          <w:tcPr>
            <w:tcW w:w="274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５年固定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下水道会計事業</w:t>
            </w:r>
          </w:p>
        </w:tc>
        <w:tc>
          <w:tcPr>
            <w:tcW w:w="274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　　．　　　％</w:t>
            </w:r>
          </w:p>
        </w:tc>
        <w:tc>
          <w:tcPr>
            <w:tcW w:w="274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　　．　　　％</w:t>
            </w:r>
          </w:p>
        </w:tc>
        <w:tc>
          <w:tcPr>
            <w:tcW w:w="274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　　．　　　％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金融機関名　　　　　　　　　　　　　　　印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代表者氏名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eastAsia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電話番号　　　　　　　　　　　　　　　　　</w:t>
      </w: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eastAsia" w:ascii="ＭＳ 明朝" w:hAnsi="ＭＳ 明朝" w:eastAsia="ＭＳ 明朝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eastAsia" w:ascii="ＭＳ 明朝" w:hAnsi="ＭＳ 明朝" w:eastAsia="ＭＳ 明朝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eastAsia" w:ascii="ＭＳ 明朝" w:hAnsi="ＭＳ 明朝" w:eastAsia="ＭＳ 明朝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eastAsia" w:ascii="ＭＳ 明朝" w:hAnsi="ＭＳ 明朝" w:eastAsia="ＭＳ 明朝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kern w:val="0"/>
          <w:sz w:val="24"/>
          <w:bdr w:val="single" w:color="auto" w:sz="4" w:space="0"/>
        </w:rPr>
        <w:t>別紙①</w:t>
      </w:r>
      <w:r>
        <w:rPr>
          <w:rFonts w:hint="eastAsia" w:ascii="ＭＳ 明朝" w:hAnsi="ＭＳ 明朝" w:eastAsia="ＭＳ 明朝"/>
          <w:b w:val="1"/>
          <w:color w:val="C00000"/>
          <w:kern w:val="0"/>
          <w:sz w:val="24"/>
          <w:bdr w:val="single" w:color="auto" w:sz="4" w:space="0"/>
        </w:rPr>
        <w:t>（記入例）</w:t>
      </w:r>
      <w:r>
        <w:rPr>
          <w:rFonts w:hint="eastAsia" w:ascii="ＭＳ 明朝" w:hAnsi="ＭＳ 明朝" w:eastAsia="ＭＳ 明朝"/>
          <w:kern w:val="0"/>
          <w:sz w:val="24"/>
        </w:rPr>
        <w:t>　　　　　</w:t>
      </w:r>
      <w:r>
        <w:rPr>
          <w:rFonts w:hint="eastAsia" w:ascii="ＭＳ 明朝" w:hAnsi="ＭＳ 明朝" w:eastAsia="ＭＳ 明朝"/>
          <w:kern w:val="0"/>
          <w:sz w:val="28"/>
        </w:rPr>
        <w:t>　　　　　　　　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</w:p>
    <w:p>
      <w:pPr>
        <w:pStyle w:val="0"/>
        <w:autoSpaceDE w:val="0"/>
        <w:autoSpaceDN w:val="0"/>
        <w:adjustRightInd w:val="0"/>
        <w:ind w:firstLine="280" w:firstLineChars="10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8"/>
        </w:rPr>
        <w:t>金利見積書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240" w:firstLineChars="10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令和●年●月●日　</w:t>
      </w:r>
    </w:p>
    <w:p>
      <w:pPr>
        <w:pStyle w:val="0"/>
        <w:autoSpaceDE w:val="0"/>
        <w:autoSpaceDN w:val="0"/>
        <w:adjustRightInd w:val="0"/>
        <w:ind w:right="96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与那原町下水道事業の地方長期資金の貸出利率について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720" w:firstLineChars="3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貸出利率について特記事項に同意し次のとおり提示します。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●対象事業</w:t>
      </w:r>
    </w:p>
    <w:tbl>
      <w:tblPr>
        <w:tblStyle w:val="28"/>
        <w:tblpPr w:leftFromText="142" w:rightFromText="142" w:topFromText="0" w:bottomFromText="0" w:vertAnchor="text" w:horzAnchor="margin" w:tblpXSpec="left" w:tblpY="46"/>
        <w:tblW w:w="10201" w:type="dxa"/>
        <w:tblLayout w:type="fixed"/>
        <w:tblLook w:firstRow="1" w:lastRow="0" w:firstColumn="1" w:lastColumn="0" w:noHBand="0" w:noVBand="1" w:val="04A0"/>
      </w:tblPr>
      <w:tblGrid>
        <w:gridCol w:w="1980"/>
        <w:gridCol w:w="2410"/>
        <w:gridCol w:w="2693"/>
        <w:gridCol w:w="3118"/>
      </w:tblGrid>
      <w:tr>
        <w:trPr/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事業名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借入額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償還年限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下水道会計事業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特別措置分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￥●●、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000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、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000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●年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●特記事項</w:t>
      </w:r>
    </w:p>
    <w:p>
      <w:pPr>
        <w:pStyle w:val="0"/>
        <w:autoSpaceDE w:val="0"/>
        <w:autoSpaceDN w:val="0"/>
        <w:adjustRightInd w:val="0"/>
        <w:ind w:firstLine="360" w:firstLineChars="15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4248150</wp:posOffset>
                </wp:positionH>
                <wp:positionV relativeFrom="paragraph">
                  <wp:posOffset>31115</wp:posOffset>
                </wp:positionV>
                <wp:extent cx="2505075" cy="1057275"/>
                <wp:effectExtent l="1723390" t="635" r="29845" b="96520"/>
                <wp:wrapNone/>
                <wp:docPr id="1026" name="吹き出し: 角を丸めた四角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角を丸めた四角形 6"/>
                      <wps:cNvSpPr/>
                      <wps:spPr>
                        <a:xfrm>
                          <a:off x="0" y="0"/>
                          <a:ext cx="2505075" cy="1057275"/>
                        </a:xfrm>
                        <a:prstGeom prst="wedgeRoundRectCallout">
                          <a:avLst>
                            <a:gd name="adj1" fmla="val -118675"/>
                            <a:gd name="adj2" fmla="val 580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4"/>
                              </w:rPr>
                              <w:t>貴機関が提示される利率を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4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style="z-index:4;height:83.25pt;mso-wrap-distance-left:9pt;width:197.25pt;mso-wrap-distance-top:0pt;mso-position-horizontal-relative:margin;position:absolute;margin-top:2.4500000000000002pt;margin-left:334.5pt;mso-position-vertical-relative:text;mso-wrap-distance-bottom:0pt;mso-wrap-distance-right:9pt;v-text-anchor:middle;" o:spid="_x0000_s1026" o:allowincell="t" o:allowoverlap="t" filled="t" fillcolor="#ffffff" stroked="t" strokecolor="#c00000" strokeweight="1pt" o:spt="62" type="#_x0000_t62" adj="-14834,2334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4"/>
                        </w:rPr>
                        <w:t>貴機関が提示される利率を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4"/>
                        </w:rPr>
                        <w:t>ご記入ください。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0"/>
          <w:sz w:val="24"/>
        </w:rPr>
        <w:t>・借入期間中に一括償還が可能であること。</w:t>
      </w:r>
    </w:p>
    <w:p>
      <w:pPr>
        <w:pStyle w:val="0"/>
        <w:autoSpaceDE w:val="0"/>
        <w:autoSpaceDN w:val="0"/>
        <w:adjustRightInd w:val="0"/>
        <w:ind w:firstLine="360" w:firstLineChars="15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・一括償還にかかる手数料は発生しないこと。</w:t>
      </w:r>
    </w:p>
    <w:p>
      <w:pPr>
        <w:pStyle w:val="0"/>
        <w:autoSpaceDE w:val="0"/>
        <w:autoSpaceDN w:val="0"/>
        <w:adjustRightInd w:val="0"/>
        <w:ind w:firstLine="360" w:firstLineChars="15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・振込手数料は、すべて金融機関の負担とすること。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●金利方式　利率見直し方式</w:t>
      </w:r>
    </w:p>
    <w:tbl>
      <w:tblPr>
        <w:tblStyle w:val="28"/>
        <w:tblpPr w:leftFromText="142" w:rightFromText="142" w:topFromText="0" w:bottomFromText="0" w:vertAnchor="text" w:horzAnchor="margin" w:tblpXSpec="left" w:tblpY="46"/>
        <w:tblW w:w="10201" w:type="dxa"/>
        <w:tblLayout w:type="fixed"/>
        <w:tblLook w:firstRow="1" w:lastRow="0" w:firstColumn="1" w:lastColumn="0" w:noHBand="0" w:noVBand="1" w:val="04A0"/>
      </w:tblPr>
      <w:tblGrid>
        <w:gridCol w:w="1980"/>
        <w:gridCol w:w="2740"/>
        <w:gridCol w:w="2740"/>
        <w:gridCol w:w="2741"/>
      </w:tblGrid>
      <w:tr>
        <w:trPr/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74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１年固定</w:t>
            </w:r>
          </w:p>
        </w:tc>
        <w:tc>
          <w:tcPr>
            <w:tcW w:w="274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３年固定</w:t>
            </w:r>
          </w:p>
        </w:tc>
        <w:tc>
          <w:tcPr>
            <w:tcW w:w="274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５年固定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下水道会計事業</w:t>
            </w:r>
          </w:p>
        </w:tc>
        <w:tc>
          <w:tcPr>
            <w:tcW w:w="274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24130</wp:posOffset>
                      </wp:positionV>
                      <wp:extent cx="1743075" cy="676275"/>
                      <wp:effectExtent l="635" t="635" r="29845" b="10795"/>
                      <wp:wrapNone/>
                      <wp:docPr id="1027" name="直線コネクタ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4"/>
                            <wps:cNvSpPr/>
                            <wps:spPr>
                              <a:xfrm flipH="1">
                                <a:off x="0" y="0"/>
                                <a:ext cx="1743075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" style="z-index:3;mso-position-horizontal-relative:text;mso-wrap-distance-top:0pt;position:absolute;mso-position-vertical-relative:text;mso-wrap-distance-bottom:0pt;mso-wrap-distance-left:9pt;mso-wrap-distance-right:9pt;flip:x;" o:spid="_x0000_s1027" o:allowincell="t" o:allowoverlap="t" filled="f" stroked="t" strokecolor="#c00000" strokeweight="0.5pt" o:spt="20" from="-7.15pt,1.9pt" to="130.1pt,55.150000000000006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　　．　　　％</w:t>
            </w:r>
          </w:p>
        </w:tc>
        <w:tc>
          <w:tcPr>
            <w:tcW w:w="274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　　．　　　％</w:t>
            </w:r>
          </w:p>
        </w:tc>
        <w:tc>
          <w:tcPr>
            <w:tcW w:w="274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　　．　　　％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金融機関名　　　　　　　　　　　　　　　印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2540</wp:posOffset>
                </wp:positionV>
                <wp:extent cx="2390775" cy="981075"/>
                <wp:effectExtent l="635" t="722630" r="29845" b="10795"/>
                <wp:wrapNone/>
                <wp:docPr id="1028" name="吹き出し: 角を丸めた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吹き出し: 角を丸めた四角形 3"/>
                      <wps:cNvSpPr/>
                      <wps:spPr>
                        <a:xfrm>
                          <a:off x="0" y="0"/>
                          <a:ext cx="2390775" cy="981075"/>
                        </a:xfrm>
                        <a:prstGeom prst="wedgeRoundRectCallout">
                          <a:avLst>
                            <a:gd name="adj1" fmla="val 15946"/>
                            <a:gd name="adj2" fmla="val -1235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4"/>
                              </w:rPr>
                              <w:t>応じることができない場合は、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4"/>
                              </w:rPr>
                              <w:t>斜線をご記入ください。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style="z-index:2;height:77.25pt;mso-wrap-distance-left:9pt;width:188.25pt;mso-wrap-distance-top:0pt;mso-position-horizontal-relative:margin;position:absolute;margin-top:0.2pt;margin-left:-7.5pt;mso-position-vertical-relative:text;mso-wrap-distance-bottom:0pt;mso-wrap-distance-right:9pt;v-text-anchor:middle;" o:spid="_x0000_s1028" o:allowincell="t" o:allowoverlap="t" filled="t" fillcolor="#ffffff [3212]" stroked="t" strokecolor="#c00000" strokeweight="1pt" o:spt="62" type="#_x0000_t62" adj="14244,-1588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4"/>
                        </w:rPr>
                        <w:t>応じることができない場合は、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4"/>
                        </w:rPr>
                        <w:t>斜線をご記入ください。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代表者氏名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eastAsia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3933825</wp:posOffset>
                </wp:positionH>
                <wp:positionV relativeFrom="paragraph">
                  <wp:posOffset>365760</wp:posOffset>
                </wp:positionV>
                <wp:extent cx="2438400" cy="495300"/>
                <wp:effectExtent l="635" t="1523365" r="29845" b="10795"/>
                <wp:wrapNone/>
                <wp:docPr id="1029" name="吹き出し: 角を丸めた四角形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吹き出し: 角を丸めた四角形 7"/>
                      <wps:cNvSpPr/>
                      <wps:spPr>
                        <a:xfrm>
                          <a:off x="0" y="0"/>
                          <a:ext cx="2438400" cy="495300"/>
                        </a:xfrm>
                        <a:prstGeom prst="wedgeRoundRectCallout">
                          <a:avLst>
                            <a:gd name="adj1" fmla="val 29055"/>
                            <a:gd name="adj2" fmla="val -35718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4"/>
                              </w:rPr>
                              <w:t>法人印を押印ください。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style="z-index:5;height:39pt;mso-wrap-distance-left:9pt;width:192pt;mso-wrap-distance-top:0pt;mso-position-horizontal-relative:margin;position:absolute;margin-top:28.8pt;margin-left:309.75pt;mso-position-vertical-relative:text;mso-wrap-distance-bottom:0pt;mso-wrap-distance-right:9pt;v-text-anchor:middle;" o:spid="_x0000_s1029" o:allowincell="t" o:allowoverlap="t" filled="t" fillcolor="#ffffff" stroked="t" strokecolor="#c00000" strokeweight="1pt" o:spt="62" type="#_x0000_t62" adj="17076,-6635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4"/>
                        </w:rPr>
                        <w:t>法人印を押印ください。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電話番号　　　　　　　　　　　　　　　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Plain Text"/>
    <w:basedOn w:val="0"/>
    <w:next w:val="24"/>
    <w:link w:val="25"/>
    <w:uiPriority w:val="0"/>
    <w:pPr>
      <w:jc w:val="left"/>
    </w:pPr>
    <w:rPr>
      <w:rFonts w:ascii="游ゴシック" w:hAnsi="游ゴシック" w:eastAsia="游ゴシック"/>
      <w:sz w:val="22"/>
    </w:rPr>
  </w:style>
  <w:style w:type="character" w:styleId="25" w:customStyle="1">
    <w:name w:val="書式なし (文字)"/>
    <w:basedOn w:val="10"/>
    <w:next w:val="25"/>
    <w:link w:val="24"/>
    <w:uiPriority w:val="0"/>
    <w:rPr>
      <w:rFonts w:ascii="游ゴシック" w:hAnsi="游ゴシック" w:eastAsia="游ゴシック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4389</TotalTime>
  <Pages>2</Pages>
  <Words>6</Words>
  <Characters>517</Characters>
  <Application>JUST Note</Application>
  <Lines>107</Lines>
  <Paragraphs>67</Paragraphs>
  <CharactersWithSpaces>697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356miki</dc:creator>
  <cp:lastModifiedBy>266kazuaki</cp:lastModifiedBy>
  <cp:lastPrinted>2026-03-02T02:14:10Z</cp:lastPrinted>
  <dcterms:created xsi:type="dcterms:W3CDTF">2025-08-12T08:08:00Z</dcterms:created>
  <dcterms:modified xsi:type="dcterms:W3CDTF">2026-03-02T02:14:22Z</dcterms:modified>
  <cp:revision>13</cp:revision>
</cp:coreProperties>
</file>